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  <mc:AlternateContent>
          <mc:Choice Requires="wps">
            <w:drawing>
              <wp:anchor behindDoc="0" distT="5080" distB="5080" distL="5080" distR="508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473190" cy="9575800"/>
                <wp:effectExtent l="5080" t="5080" r="5080" b="5080"/>
                <wp:wrapNone/>
                <wp:docPr id="1" name="Rectangle 7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60" cy="957564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333399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761" path="m0,0l-2147483645,0l-2147483645,-2147483646l0,-2147483646xe" stroked="t" o:allowincell="f" style="position:absolute;margin-left:0pt;margin-top:0.05pt;width:509.65pt;height:753.95pt;mso-wrap-style:none;v-text-anchor:middle">
                <v:fill o:detectmouseclick="t" on="false"/>
                <v:stroke color="#333399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color w:val="000080"/>
          <w:sz w:val="36"/>
          <w:szCs w:val="36"/>
        </w:rPr>
      </w:pPr>
      <w:r>
        <w:rPr>
          <w:color w:val="000080"/>
          <w:sz w:val="36"/>
          <w:szCs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  <w:szCs w:val="36"/>
        </w:rPr>
      </w:pPr>
      <w:r>
        <w:rPr>
          <w:color w:val="000080"/>
          <w:sz w:val="36"/>
          <w:szCs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</w:r>
    </w:p>
    <w:p>
      <w:pPr>
        <w:pStyle w:val="Normal"/>
        <w:ind w:left="284" w:right="425"/>
        <w:jc w:val="center"/>
        <w:rPr>
          <w:b/>
          <w:bCs/>
          <w:color w:val="000080"/>
        </w:rPr>
      </w:pPr>
      <w:r>
        <w:rPr>
          <w:b/>
          <w:bCs/>
          <w:color w:val="000080"/>
        </w:rPr>
      </w:r>
    </w:p>
    <w:p>
      <w:pPr>
        <w:pStyle w:val="Normal"/>
        <w:ind w:left="284" w:right="425"/>
        <w:jc w:val="center"/>
        <w:rPr>
          <w:b/>
          <w:bCs/>
          <w:color w:val="000080"/>
          <w:sz w:val="32"/>
          <w:szCs w:val="32"/>
        </w:rPr>
      </w:pPr>
      <w:r>
        <w:rPr>
          <w:b/>
          <w:bCs/>
          <w:color w:val="000080"/>
          <w:sz w:val="32"/>
          <w:szCs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  <w:szCs w:val="52"/>
        </w:rPr>
      </w:pPr>
      <w:r>
        <w:rPr>
          <w:sz w:val="72"/>
          <w:szCs w:val="52"/>
        </w:rPr>
        <w:t>АНАЛИЗ</w:t>
      </w:r>
    </w:p>
    <w:p>
      <w:pPr>
        <w:pStyle w:val="Heading1"/>
        <w:ind w:left="0" w:right="14"/>
        <w:rPr>
          <w:sz w:val="44"/>
          <w:szCs w:val="44"/>
        </w:rPr>
      </w:pPr>
      <w:r>
        <w:rPr>
          <w:sz w:val="44"/>
          <w:szCs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44"/>
          <w:szCs w:val="44"/>
        </w:rPr>
        <w:t>И ИХ ПОСЛЕДСТВИЯМИ</w:t>
      </w:r>
    </w:p>
    <w:p>
      <w:pPr>
        <w:pStyle w:val="Normal"/>
        <w:ind w:right="14"/>
        <w:jc w:val="center"/>
        <w:rPr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44"/>
          <w:szCs w:val="44"/>
        </w:rPr>
        <w:t>НА ТЕРРИТОРИИ</w:t>
      </w:r>
    </w:p>
    <w:p>
      <w:pPr>
        <w:pStyle w:val="Heading6"/>
        <w:ind w:left="0" w:right="14"/>
        <w:rPr>
          <w:sz w:val="44"/>
          <w:szCs w:val="44"/>
        </w:rPr>
      </w:pPr>
      <w:r>
        <w:rPr>
          <w:sz w:val="44"/>
          <w:szCs w:val="44"/>
        </w:rPr>
        <w:t>СВЕРДЛОВСКО</w:t>
      </w:r>
      <w:bookmarkStart w:id="0" w:name="_GoBack"/>
      <w:bookmarkEnd w:id="0"/>
      <w:r>
        <w:rPr>
          <w:sz w:val="44"/>
          <w:szCs w:val="44"/>
        </w:rPr>
        <w:t>Й ОБЛАСТИ</w:t>
      </w:r>
    </w:p>
    <w:p>
      <w:pPr>
        <w:pStyle w:val="Heading7"/>
        <w:ind w:left="0" w:right="14"/>
        <w:rPr>
          <w:i w:val="false"/>
          <w:i w:val="false"/>
          <w:iCs w:val="false"/>
          <w:sz w:val="44"/>
          <w:szCs w:val="44"/>
        </w:rPr>
      </w:pPr>
      <w:r>
        <w:rPr>
          <w:i w:val="false"/>
          <w:iCs w:val="false"/>
          <w:sz w:val="44"/>
          <w:szCs w:val="44"/>
        </w:rPr>
        <w:t xml:space="preserve">за </w:t>
      </w:r>
      <w:r>
        <w:rPr>
          <w:i w:val="false"/>
          <w:iCs w:val="false"/>
          <w:sz w:val="44"/>
          <w:szCs w:val="44"/>
        </w:rPr>
        <w:t>7</w:t>
      </w:r>
      <w:r>
        <w:rPr>
          <w:i w:val="false"/>
          <w:sz w:val="44"/>
          <w:szCs w:val="44"/>
        </w:rPr>
        <w:t xml:space="preserve"> </w:t>
      </w:r>
      <w:r>
        <w:rPr>
          <w:sz w:val="44"/>
          <w:szCs w:val="44"/>
        </w:rPr>
        <w:t>месяцев</w:t>
      </w:r>
      <w:r>
        <w:rPr>
          <w:i w:val="false"/>
          <w:sz w:val="44"/>
          <w:szCs w:val="44"/>
        </w:rPr>
        <w:t xml:space="preserve"> </w:t>
      </w:r>
      <w:r>
        <w:rPr>
          <w:sz w:val="44"/>
          <w:szCs w:val="44"/>
        </w:rPr>
        <w:t>2026</w:t>
      </w:r>
      <w:r>
        <w:rPr>
          <w:i w:val="false"/>
          <w:sz w:val="44"/>
          <w:szCs w:val="44"/>
        </w:rPr>
        <w:t xml:space="preserve">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Heading4"/>
        <w:rPr/>
      </w:pPr>
      <w:r>
        <w:rPr/>
        <w:t>Екатеринбург 2026</w:t>
      </w:r>
    </w:p>
    <w:p>
      <w:pPr>
        <w:pStyle w:val="Normal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315" w:top="480" w:footer="510" w:bottom="567"/>
          <w:pgNumType w:start="1" w:fmt="decimal"/>
          <w:formProt w:val="false"/>
          <w:titlePg/>
          <w:textDirection w:val="lrTb"/>
          <w:docGrid w:type="default" w:linePitch="360" w:charSpace="0"/>
        </w:sectPr>
        <w:pStyle w:val="Normal"/>
        <w:rPr/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M_4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С 1 января 2026 г. по 31 июля 2026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зарегистрировано 1493 пожара (в 2025 г. - 1451 пожар (увеличение на 2,9%));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погибло 119 человек (в 2025 г. - 105 человек (увеличение на 13,3%)), в том числе 7 детей (в 2025 г. - 9 детей (снижение на -22,2%));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M_7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травмировано 108 человек (в 2025 г. - 106 человек (увеличение на 1,9%)), в том числе 16 детей (в 2025 г. - 12 детей (увеличение на 33,3%)).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- 35,6% в надворных постройках (532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- 31,7% в одноквартирных жилых домах, в т.ч. блокированных (474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- 24% (от количества пожаров в жилом секторе) произошло в многоквартирных жилых домах (359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- 8,6% в садовых домах и аналогичных (128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17,3%; 2025 - 404; 2026 - 474);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8,5%; 2025 - 118; 2026 - 128);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2,3%; 2025 - 520; 2026 - 532);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-12,2%; 2025 - 409; 2026 - 359);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- 52,2% в результате нарушения правил устройства и эксплуатации электрооборудования (780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- 21,6% в результате нарушения правил устройства и эксплуатации печного отопления (322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- 15,1% (от количества пожаров в жилом секторе) произошло в результате неосторожного обращения с огнем (225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- 5% в результате поджогов (75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- 0,7% в результате нарушения правил устройства и эксплуатации газового оборудования (11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- 0,4% в результате нарушения правил устройства и эксплуатации транспортных средств (6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- 5% в результате прочих причин (74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(в 2,2 раза; 2025 - 5; 2026 - 11);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17,5%; 2025 - 274; 2026 - 322);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8,2%; 2025 - 721; 2026 - 780);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(на 54,2%; 2025 - 48; 2026 - 74);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-37%; 2025 - 119; 2026 - 75);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-19,1%; 2025 - 278; 2026 - 225);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- 61,3% в одноквартирных жилых домах, в т.ч. блокированных (73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- 25,2% (от количества погибших в жилом секторе) в многоквартирных жилых домах (30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- 7,6% в надворных постройках (9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- 5,9% в садовых домах и аналогичных (7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80%; 2025 - 5; 2026 - 9);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35,2%; 2025 - 54; 2026 - 73);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-36,4%; 2025 - 11; 2026 - 7);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-14,3%; 2025 - 35; 2026 - 30);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- 43,7% (от количества погибших в жилом секторе) произошло в результате неосторожного обращения с огнем (52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- 37,8% в результате нарушения правил устройства и эксплуатации электрооборудования (45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- 10,9% в результате нарушения правил устройства и эксплуатации печного отопления (13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- 1,7% в результате нарушения правил устройства и эксплуатации газового оборудования (2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- 5,9% в результате прочих причин (7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(в 4,3 раза; 2025 - 3; 2026 - 13);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10,6%; 2025 - 47; 2026 - 52);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2025 - 0; 2026 - 2);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(на 40%; 2025 - 5; 2026 - 7);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(снижение; 2025 - 5; 2026 - 0);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- 71,4% в одноквартирных жилых домах, в т.ч. блокированных (5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- 28,6% в садовых домах и аналогичных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M_157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66,7%; 2025 - 3; 2026 - 5);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M_170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(в 2 раза; 2025 - 4; 2026 - 2);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(снижение; 2025 - 2; 2026 - 0);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- 85,7% (от количества погибших детей в жилом секторе) в результате неосторожного обращения с огнем (6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- 14,3% в результате нарушения правил устройства и эксплуатации электрооборудования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(в 2 раза; 2025 - 3; 2026 - 6);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M_202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результате нарушения правил устройства и эксплуатации электрооборудования (в 6 раз; 2025 - 6; 2026 - 1);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- 49,1% (от количества травмированных в жилом секторе) в многоквартирных жилых домах (53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- 25% в одноквартирных жилых домах, в т.ч. блокированных (27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- 15,7% в садовых домах и аналогичных (17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- 10,2% в надворных постройках (11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садовых домах и аналогичных (в 2,4 раза; 2025 - 7; 2026 - 17);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M_223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</w:r>
      <w:r>
        <w:rPr>
          <w:sz w:val="28"/>
          <w:szCs w:val="28"/>
          <w:color w:val="000000"/>
        </w:rPr>
        <w:fldChar w:fldCharType="end"/>
      </w: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M_224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одноквартирных жилых домах, в т.ч. блокированных (на 35%; 2025 - 20; 2026 - 27);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-21,4%; 2025 - 14; 2026 - 11);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-18,5%; 2025 - 65; 2026 - 53);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- 43,5% в результате нарушения правил устройства и эксплуатации электрооборудования (47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- 35,2% (от количества травмированных в жилом секторе) в результате неосторожного обращения с огнем (38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- 7,4% в результате нарушения правил устройства и эксплуатации печного отопления (8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- 4,6% в результате поджогов (5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- 1,9% в результате нарушения правил устройства и эксплуатации газового оборудования (2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- 7,4% в результате прочих причин (8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(в 2 раза; 2025 - 1; 2026 - 2);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22,6%; 2025 - 31; 2026 - 38);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14,3%; 2025 - 7; 2026 - 8);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(на 14,3%; 2025 - 7; 2026 - 8);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-16,7%; 2025 - 6; 2026 - 5);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-13%; 2025 - 54; 2026 - 47);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- 37,5% в садовых домах и аналогичных (6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- 31,3% (от количества травмированных детей в жилом секторе) в многоквартирных жилых домах (5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- 18,8% в надворных постройках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- 12,5% в одноквартирных жилых домах, в т.ч. блокированных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(в 3 раза; 2025 - 2; 2026 - 6);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(в 3 раза; 2025 - 1; 2026 - 3);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-33,3%; 2025 - 3; 2026 - 2);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-16,7%; 2025 - 6; 2026 - 5);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- 37,5% (от количества травмированных детей в жилом секторе) в результате неосторожного обращения с огнем (6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- 25% в результате нарушения правил устройства и эксплуатации электрооборудования (4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- 12,5% в результате поджогов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- 12,5% в результате нарушения правил устройства и эксплуатации печного отопления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- 12,5% в результате прочих причин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2 раза; 2025 - 3;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(увеличение; 2025 - 0; 2026 - 2);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(увеличение; 2025 - 0; 2026 - 2);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2025 - 0; 2026 - 2);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fldChar w:fldCharType="begin"/>
      </w:r>
      <w:r>
        <w:rPr>
          <w:sz w:val="28"/>
          <w:b/>
          <w:szCs w:val="28"/>
          <w:bCs/>
        </w:rPr>
        <w:instrText xml:space="preserve"> MERGEFIELD M_335 </w:instrText>
      </w:r>
      <w:r>
        <w:rPr>
          <w:sz w:val="28"/>
          <w:b/>
          <w:szCs w:val="28"/>
          <w:bCs/>
        </w:rPr>
        <w:fldChar w:fldCharType="separate"/>
      </w:r>
      <w:r>
        <w:rPr>
          <w:sz w:val="28"/>
          <w:b/>
          <w:szCs w:val="28"/>
          <w:bCs/>
        </w:rPr>
        <w:t>- в результате нарушения правил устройства и эксплуатации электрооборудования (в 2,3 раза; 2025 - 9; 2026 - 4);</w:t>
      </w:r>
      <w:r>
        <w:rPr>
          <w:sz w:val="28"/>
          <w:b/>
          <w:szCs w:val="28"/>
          <w:bCs/>
        </w:rPr>
        <w:fldChar w:fldCharType="end"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На территории Свердловской области за период с 01.01.2026 г. по 31.07.2026 г. произошло 3 пожара с гибелью детей, снижение на -40 % в сравнении с аналогичным периодом прошлого года (АППГ) (2025 - 5 пожаров). С травмами детей произошло 12 пожаров, увеличение на 20 % в сравнении с АППГ (2025 - 10 пожаров).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При пожарах погибло 7 детей, снижение на -36,4 % (2025 - 11 детей). Травмировано 18 детей, увеличение на 38,5 % (2025 - 13 детей).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 указанный период дошкольного возраста (до 7 лет) погибло 7267 детей (103814% от общего количества) и 372 ребёнка травмировано (2067%), с 7 до 11 лет погибло 94 ребёнка (1343%) и 16 детей травмировано (89%), подростков от 11 до 18 лет погибло 37 детей (529%) и 7 детей травмировано (39%).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Погибших мальчиков (4 ребёнка), больше чем девочек (3 ребёнка). Травмированных мальчиков (13 детей), больше чем девочек (5 детей).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виновным лицам: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до 7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7-11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11-18 лет погибло 2 ребёнка (29%) и 6 детей травмировано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людей старше 18 лет погибших и травмированных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Нет данных по виновному лицу – погибло 5 детей (71%) и 12 детей травмировано (67%).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местам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объектах жилого назначения - погибло 7 детей (100% от общего количества) и  травмировано 13 детей (72%);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-  травмировано 3 ребёнка (17%);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открытой территории -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b/>
          <w:sz w:val="28"/>
          <w:szCs w:val="28"/>
        </w:rPr>
        <w:t>Распределение по типам зданий: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одноэтажных зданиях погибло 5 детей (71% от общего количества) и  травмировано 6 детей (33%); в двухэтажных зданиях погибло 2 ребёнка (29%) и  травмировано 6 детей (33%); в зданиях от трех этажей и выше  травмировано 4 ребёнка (22%). Вне здания погибших и травмированных детей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зданиях пятой степени огнестойкости погибло 3 ребёнка (43% от общего количества) и  травмировано 11 детей (61%); в зданиях третей и четвертой степени огнестойкости погибло 4 ребёнка (57%) и  травмировано 3 ребёнка (17%); в зданиях первой и второй степени огнестойкости  травмировано 2 ребёнка (11%). Вне здания  травмировано 2 ребёнка (11%).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причинам возникновения: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– погибло 6 детей (86% от общего количества) и  травмировано 6 детей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 1 ребёнок (14%) и  травмировано 4 ребёнка (22%);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НПУиЭ печного отопления –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-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НПУиЭ транспорных средств -  травмирован 1 ребёнок (6%);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–  травмировано 3 ребёнка (17%).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городах погибло 2 ребёнка (29% от общего количества) и  травмировано 16 детей (89%). В сельской местности погибло 5 детей (71%) и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времени: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рабочее время (с 08.00 до 18.00) – погибло 6 детей (86% от общего количества) и  травмировано 9 детей (50%);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вечернее время (с 18.00 до 24.00) –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ночное время (с 24.00 до 8.00) – погиб 1 ребёнок (14%) и  травмировано 7 детей (39%).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b/>
          <w:sz w:val="28"/>
          <w:szCs w:val="28"/>
        </w:rPr>
        <w:t>Распределение по дням недели: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понедельник - погибло 4 ребёнка (57% от общего количества) и  травмирован 1 ребёнок (6%);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во вторник -  травмирован 1 ребёнок (6%);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среду -  травмирован 1 ребёнок (6%);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четверг - погибло 3 ребёнка (43%) и  травмировано 7 детей (39%);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пятницу -  травмировано 5 детей (28%);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субботу -  травмирован 1 ребёнок (6%);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воскресенье -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Гибель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fldChar w:fldCharType="begin"/>
      </w:r>
      <w:r>
        <w:rPr/>
        <w:instrText xml:space="preserve">LINK Excel.SheetMacroEnabled.12 "C:\\Shablon_analiz_BD\\!Отчеты и анализы.xlsm" "МО гиб дет!Область_печати" \a \f 4 \h  \* MERGEFORMAT</w:instrText>
      </w:r>
      <w:r>
        <w:rPr/>
      </w:r>
      <w:r>
        <w:rPr/>
        <w:fldChar w:fldCharType="separate"/>
      </w:r>
      <w:r/>
      <w:r>
        <w:rPr/>
      </w:r>
    </w:p>
    <w:tbl>
      <w:tblPr>
        <w:tblW w:w="752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35"/>
        <w:gridCol w:w="836"/>
        <w:gridCol w:w="834"/>
        <w:gridCol w:w="822"/>
        <w:gridCol w:w="837"/>
        <w:gridCol w:w="840"/>
        <w:gridCol w:w="815"/>
      </w:tblGrid>
      <w:tr>
        <w:trPr>
          <w:trHeight w:val="375" w:hRule="atLeast"/>
        </w:trPr>
        <w:tc>
          <w:tcPr>
            <w:tcW w:w="25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31.07.2026</w:t>
            </w:r>
          </w:p>
        </w:tc>
      </w:tr>
      <w:tr>
        <w:trPr>
          <w:trHeight w:val="585" w:hRule="atLeast"/>
        </w:trPr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2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-40,0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-36,4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Ирбитское МО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Туринский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Горноуральский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/>
      <w:r>
        <w:rPr/>
        <w:fldChar w:fldCharType="end"/>
      </w:r>
      <w:r>
        <w:rPr/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Травмы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fldChar w:fldCharType="begin"/>
      </w:r>
      <w:r>
        <w:rPr/>
        <w:instrText xml:space="preserve">LINK Excel.SheetMacroEnabled.12 "C:\\Shablon_analiz_BD\\!Отчеты и анализы.xlsm" "МО тр дет!Область_печати" \a \f 4 \h</w:instrText>
      </w:r>
      <w:r>
        <w:rPr/>
      </w:r>
      <w:r>
        <w:rPr/>
        <w:fldChar w:fldCharType="separate"/>
      </w:r>
      <w:r/>
      <w:r>
        <w:rPr/>
      </w:r>
    </w:p>
    <w:tbl>
      <w:tblPr>
        <w:tblW w:w="752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35"/>
        <w:gridCol w:w="836"/>
        <w:gridCol w:w="841"/>
        <w:gridCol w:w="815"/>
        <w:gridCol w:w="837"/>
        <w:gridCol w:w="840"/>
        <w:gridCol w:w="815"/>
      </w:tblGrid>
      <w:tr>
        <w:trPr>
          <w:trHeight w:val="375" w:hRule="atLeast"/>
        </w:trPr>
        <w:tc>
          <w:tcPr>
            <w:tcW w:w="25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31.07.2026</w:t>
            </w:r>
          </w:p>
        </w:tc>
      </w:tr>
      <w:tr>
        <w:trPr>
          <w:trHeight w:val="660" w:hRule="atLeast"/>
        </w:trPr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20,0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38,5</w:t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-42,9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Ревда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 в 2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Алапаевское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Каменск-Уральский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Каменский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Красноуфимск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Красноуфимский округ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bookmarkStart w:id="1" w:name="_GoBack_Копия_1"/>
      <w:bookmarkEnd w:id="1"/>
      <w:r/>
      <w:r>
        <w:rPr/>
        <w:fldChar w:fldCharType="end"/>
      </w:r>
      <w:r>
        <w:rPr/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  <w:szCs w:val="24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2" w:name="_GoBack_Копия_2"/>
      <w:bookmarkStart w:id="3" w:name="_GoBack_Копия_2"/>
      <w:bookmarkEnd w:id="3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>на 1</w:t>
      </w:r>
      <w:r>
        <w:rPr>
          <w:b/>
          <w:bCs/>
          <w:sz w:val="28"/>
          <w:u w:val="single"/>
        </w:rPr>
        <w:t>0</w:t>
      </w:r>
      <w:r>
        <w:rPr>
          <w:b/>
          <w:bCs/>
          <w:sz w:val="28"/>
          <w:u w:val="single"/>
        </w:rPr>
        <w:t xml:space="preserve"> </w:t>
      </w:r>
      <w:r>
        <w:rPr>
          <w:b/>
          <w:bCs/>
          <w:sz w:val="28"/>
          <w:u w:val="single"/>
        </w:rPr>
        <w:t xml:space="preserve">августа </w:t>
      </w:r>
      <w:r>
        <w:rPr>
          <w:b/>
          <w:bCs/>
          <w:sz w:val="28"/>
          <w:u w:val="single"/>
        </w:rPr>
        <w:t>2026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зарегистрировано  </w:t>
      </w:r>
      <w:r>
        <w:rPr>
          <w:sz w:val="28"/>
        </w:rPr>
        <w:t>94</w:t>
      </w:r>
      <w:r>
        <w:rPr>
          <w:sz w:val="28"/>
        </w:rPr>
        <w:t xml:space="preserve"> пожара (в 202</w:t>
      </w:r>
      <w:r>
        <w:rPr>
          <w:sz w:val="28"/>
        </w:rPr>
        <w:t>5</w:t>
      </w:r>
      <w:r>
        <w:rPr>
          <w:sz w:val="28"/>
        </w:rPr>
        <w:t xml:space="preserve"> г. – </w:t>
      </w:r>
      <w:r>
        <w:rPr>
          <w:sz w:val="28"/>
        </w:rPr>
        <w:t>113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погибли  5  человек (двое из которых несовершеннолетние) (в 2025г. – 2);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>8</w:t>
      </w:r>
      <w:r>
        <w:rPr>
          <w:sz w:val="28"/>
        </w:rPr>
        <w:t xml:space="preserve"> человек (шесть из которых несовершеннолетние) (в 2025 г.–</w:t>
      </w:r>
      <w:r>
        <w:rPr>
          <w:sz w:val="28"/>
        </w:rPr>
        <w:t>6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2026 г.</w:t>
      </w:r>
    </w:p>
    <w:p>
      <w:pPr>
        <w:pStyle w:val="Normal"/>
        <w:jc w:val="center"/>
        <w:rPr>
          <w:b/>
          <w:bCs/>
          <w:sz w:val="28"/>
          <w:highlight w:val="none"/>
          <w:shd w:fill="auto" w:val="clear"/>
        </w:rPr>
      </w:pPr>
      <w:r>
        <w:rPr>
          <w:b/>
          <w:bCs/>
          <w:sz w:val="28"/>
          <w:shd w:fill="auto" w:val="clear"/>
        </w:rPr>
      </w:r>
    </w:p>
    <w:p>
      <w:pPr>
        <w:pStyle w:val="Normal"/>
        <w:jc w:val="center"/>
        <w:rPr>
          <w:sz w:val="28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05 марта</w:t>
      </w:r>
      <w:r>
        <w:rPr>
          <w:b/>
          <w:bCs/>
          <w:sz w:val="28"/>
        </w:rPr>
        <w:t xml:space="preserve"> 2026 года </w:t>
      </w:r>
      <w:r>
        <w:rPr>
          <w:sz w:val="28"/>
        </w:rPr>
        <w:t>в 08-48 на пункт связи  56 ПСЧ 6 ПСО ФПС ГПС ГУ МЧС России по Свердловской области поступило сообщение о пожаре в частном жилом доме по ул. Клары Цеткин на S=84 кв.м, в результате пожара погиб мужчин 1960 года рождения. Предполагаемой причиной пожара явилось неосторожное обращение с огнем.</w:t>
      </w:r>
    </w:p>
    <w:p>
      <w:pPr>
        <w:pStyle w:val="Normal"/>
        <w:jc w:val="center"/>
        <w:rPr>
          <w:sz w:val="28"/>
        </w:rPr>
      </w:pPr>
      <w:r>
        <w:rPr>
          <w:b/>
          <w:bCs/>
          <w:sz w:val="28"/>
        </w:rPr>
        <w:t xml:space="preserve">20 апреля 2026 года </w:t>
      </w:r>
      <w:r>
        <w:rPr>
          <w:sz w:val="28"/>
        </w:rPr>
        <w:t>в 02-20 на пункт связи  56 ПСЧ 6 ПСО ФПС ГПС ГУ МЧС России по Свердловской области поступило сообщение о пожаре садового домика в коллективном саду механического завода район п. Медянкино на S=72 кв.м, в результате пожара погиб мужчин 1984 года рождения. Предполагаемой причиной пожара явилось неправильная эксплуатация электрооборудования.</w:t>
      </w:r>
    </w:p>
    <w:p>
      <w:pPr>
        <w:pStyle w:val="Normal"/>
        <w:jc w:val="center"/>
        <w:rPr/>
      </w:pPr>
      <w:r>
        <w:rPr>
          <w:b/>
          <w:bCs/>
          <w:sz w:val="28"/>
        </w:rPr>
        <w:t>06 августа</w:t>
      </w:r>
      <w:r>
        <w:rPr>
          <w:b/>
          <w:bCs/>
          <w:sz w:val="28"/>
        </w:rPr>
        <w:t xml:space="preserve"> 2026 года </w:t>
      </w:r>
      <w:r>
        <w:rPr>
          <w:sz w:val="28"/>
        </w:rPr>
        <w:t>в 0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09</w:t>
      </w:r>
      <w:r>
        <w:rPr>
          <w:sz w:val="28"/>
        </w:rPr>
        <w:t xml:space="preserve"> на пункт связи  56 ПСЧ 6 ПСО ФПС ГПС ГУ МЧС России по Свердловской области поступило сообщение о пожа</w:t>
      </w:r>
      <w:r>
        <w:rPr>
          <w:rFonts w:eastAsia="Times New Roman" w:cs="Times New Roman"/>
          <w:color w:val="auto"/>
          <w:kern w:val="0"/>
          <w:sz w:val="28"/>
          <w:szCs w:val="24"/>
          <w:lang w:val="ru-RU" w:eastAsia="ru-RU" w:bidi="ar-SA"/>
        </w:rPr>
        <w:t>ре жилого многоквартирного дома по проспекту Серова на S=2 кв.м, в результате пожара женщина- 1962 года получила множественные ожоги III степени верхних и нижних конечностей, лица, шок I первой степени и была госпитализирована в ГАУЗ СО «Серовскую городскую больницу».  Предположительная  причина  пожара- неосторожного обращения с огнем.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851" w:right="424" w:gutter="0" w:header="315" w:top="480" w:footer="510" w:bottom="567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PT Astra Serif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60871547"/>
    </w:sdtPr>
    <w:sdtContent>
      <w:p>
        <w:pPr>
          <w:pStyle w:val="Header"/>
          <w:jc w:val="center"/>
          <w:rPr/>
        </w:pPr>
        <w:r>
          <w:rPr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60871547"/>
    </w:sdtPr>
    <w:sdtContent>
      <w:p>
        <w:pPr>
          <w:pStyle w:val="Header"/>
          <w:jc w:val="center"/>
          <w:rPr/>
        </w:pPr>
        <w:r>
          <w:rPr/>
        </w:r>
      </w:p>
    </w:sdtContent>
  </w:sdt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5a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qFormat/>
    <w:rsid w:val="00040e13"/>
    <w:pPr>
      <w:keepNext w:val="true"/>
      <w:ind w:left="284" w:right="425"/>
      <w:jc w:val="center"/>
      <w:outlineLvl w:val="0"/>
    </w:pPr>
    <w:rPr>
      <w:b/>
      <w:bCs/>
      <w:color w:val="FF0000"/>
      <w:sz w:val="36"/>
    </w:rPr>
  </w:style>
  <w:style w:type="paragraph" w:styleId="Heading4">
    <w:name w:val="heading 4"/>
    <w:basedOn w:val="Normal"/>
    <w:next w:val="Normal"/>
    <w:qFormat/>
    <w:rsid w:val="00040e13"/>
    <w:pPr>
      <w:keepNext w:val="true"/>
      <w:ind w:left="284" w:right="425"/>
      <w:jc w:val="center"/>
      <w:textAlignment w:val="baseline"/>
      <w:outlineLvl w:val="3"/>
    </w:pPr>
    <w:rPr>
      <w:b/>
      <w:bCs/>
      <w:i/>
      <w:color w:val="000080"/>
      <w:spacing w:val="-2"/>
      <w:szCs w:val="20"/>
    </w:rPr>
  </w:style>
  <w:style w:type="paragraph" w:styleId="Heading6">
    <w:name w:val="heading 6"/>
    <w:basedOn w:val="Normal"/>
    <w:next w:val="Normal"/>
    <w:qFormat/>
    <w:rsid w:val="00040e13"/>
    <w:pPr>
      <w:keepNext w:val="true"/>
      <w:ind w:left="284" w:right="425"/>
      <w:jc w:val="center"/>
      <w:textAlignment w:val="baseline"/>
      <w:outlineLvl w:val="5"/>
    </w:pPr>
    <w:rPr>
      <w:b/>
      <w:bCs/>
      <w:iCs/>
      <w:color w:val="FF0000"/>
      <w:spacing w:val="-2"/>
      <w:sz w:val="32"/>
      <w:szCs w:val="20"/>
    </w:rPr>
  </w:style>
  <w:style w:type="paragraph" w:styleId="Heading7">
    <w:name w:val="heading 7"/>
    <w:basedOn w:val="Normal"/>
    <w:next w:val="Normal"/>
    <w:qFormat/>
    <w:rsid w:val="00040e13"/>
    <w:pPr>
      <w:keepNext w:val="true"/>
      <w:ind w:left="284" w:right="425"/>
      <w:jc w:val="center"/>
      <w:textAlignment w:val="baseline"/>
      <w:outlineLvl w:val="6"/>
    </w:pPr>
    <w:rPr>
      <w:b/>
      <w:bCs/>
      <w:i/>
      <w:iCs/>
      <w:color w:val="FF0000"/>
      <w:spacing w:val="-2"/>
      <w:sz w:val="3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b828e9"/>
    <w:rPr/>
  </w:style>
  <w:style w:type="character" w:styleId="Hyperlink" w:customStyle="1">
    <w:name w:val="Hyperlink"/>
    <w:basedOn w:val="DefaultParagraphFont"/>
    <w:unhideWhenUsed/>
    <w:qFormat/>
    <w:rsid w:val="001b66ff"/>
    <w:rPr>
      <w:color w:themeColor="hyperlink" w:val="0000FF"/>
      <w:u w:val="single"/>
    </w:rPr>
  </w:style>
  <w:style w:type="character" w:styleId="Style10" w:customStyle="1">
    <w:name w:val="Верхний колонтитул Знак"/>
    <w:basedOn w:val="DefaultParagraphFont"/>
    <w:uiPriority w:val="99"/>
    <w:qFormat/>
    <w:rsid w:val="00872e93"/>
    <w:rPr>
      <w:sz w:val="24"/>
      <w:szCs w:val="24"/>
    </w:rPr>
  </w:style>
  <w:style w:type="paragraph" w:styleId="Style11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3" w:customStyle="1">
    <w:name w:val="Верхний и нижний 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14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rsid w:val="007e38a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rsid w:val="007e38a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857722"/>
    <w:pPr>
      <w:ind w:firstLine="709"/>
      <w:jc w:val="both"/>
      <w:textAlignment w:val="baseline"/>
    </w:pPr>
    <w:rPr>
      <w:rFonts w:eastAsia="MS Mincho"/>
      <w:spacing w:val="-2"/>
      <w:sz w:val="28"/>
      <w:szCs w:val="20"/>
    </w:rPr>
  </w:style>
  <w:style w:type="paragraph" w:styleId="BodyTextIndent3">
    <w:name w:val="Body Text Indent 3"/>
    <w:basedOn w:val="Normal"/>
    <w:qFormat/>
    <w:rsid w:val="004f6bbf"/>
    <w:pPr>
      <w:spacing w:before="0" w:after="120"/>
      <w:ind w:left="283"/>
    </w:pPr>
    <w:rPr>
      <w:sz w:val="16"/>
      <w:szCs w:val="16"/>
    </w:rPr>
  </w:style>
  <w:style w:type="paragraph" w:styleId="BalloonText">
    <w:name w:val="Balloon Text"/>
    <w:basedOn w:val="Normal"/>
    <w:semiHidden/>
    <w:qFormat/>
    <w:rsid w:val="00295c9f"/>
    <w:pPr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a3790"/>
    <w:pPr>
      <w:jc w:val="center"/>
      <w:textAlignment w:val="baseline"/>
    </w:pPr>
    <w:rPr>
      <w:b/>
      <w:iCs/>
      <w:spacing w:val="-2"/>
      <w:sz w:val="28"/>
      <w:szCs w:val="20"/>
    </w:rPr>
  </w:style>
  <w:style w:type="paragraph" w:styleId="Style15" w:customStyle="1">
    <w:name w:val="Знак"/>
    <w:basedOn w:val="Normal"/>
    <w:qFormat/>
    <w:rsid w:val="007a3790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1" w:customStyle="1">
    <w:name w:val="Знак Знак1 Знак"/>
    <w:basedOn w:val="Normal"/>
    <w:qFormat/>
    <w:rsid w:val="00cc7303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NormalWeb">
    <w:name w:val="Normal (Web)"/>
    <w:basedOn w:val="Normal"/>
    <w:uiPriority w:val="99"/>
    <w:unhideWhenUsed/>
    <w:qFormat/>
    <w:rsid w:val="00dd4e68"/>
    <w:pPr>
      <w:spacing w:beforeAutospacing="1" w:afterAutospacing="1"/>
    </w:pPr>
    <w:rPr>
      <w:rFonts w:eastAsia="" w:eastAsiaTheme="minorEastAsia"/>
    </w:rPr>
  </w:style>
  <w:style w:type="paragraph" w:styleId="ListParagraph">
    <w:name w:val="List Paragraph"/>
    <w:basedOn w:val="Normal"/>
    <w:uiPriority w:val="34"/>
    <w:qFormat/>
    <w:rsid w:val="005b5e56"/>
    <w:pPr>
      <w:spacing w:before="0" w:after="0"/>
      <w:ind w:left="720"/>
      <w:contextualSpacing/>
    </w:pPr>
    <w:rPr/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rsid w:val="001301c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578B7-3908-4E09-B938-6FFCD1E87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LibreOffice/25.2.7.2$Windows_X86_64 LibreOffice_project/5cbfd1ab6520636bb5f7b99185aa69bd7456825d</Application>
  <AppVersion>15.0000</AppVersion>
  <Pages>10</Pages>
  <Words>2741</Words>
  <Characters>14695</Characters>
  <CharactersWithSpaces>17135</CharactersWithSpaces>
  <Paragraphs>361</Paragraphs>
  <Company>VNIIPO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2026-07-09T09:29:00Z</dcterms:created>
  <dc:creator>Зуева</dc:creator>
  <dc:description/>
  <dc:language>ru-RU</dc:language>
  <cp:lastModifiedBy/>
  <cp:lastPrinted>2021-11-10T11:42:00Z</cp:lastPrinted>
  <dcterms:modified xsi:type="dcterms:W3CDTF">2026-08-10T15:22:07Z</dcterms:modified>
  <cp:revision>14</cp:revision>
  <dc:subject/>
  <dc:title>МИНИСТЕРСТВО РОССИЙСКОЙ ФЕДЕРАЦИИ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